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B7319D" w14:textId="7E804B35" w:rsidR="00201AC2" w:rsidRPr="001A40E2" w:rsidRDefault="00F228E5" w:rsidP="00201AC2">
      <w:pPr>
        <w:spacing w:after="180"/>
        <w:rPr>
          <w:b/>
          <w:sz w:val="44"/>
          <w:szCs w:val="44"/>
        </w:rPr>
      </w:pPr>
      <w:r>
        <w:rPr>
          <w:b/>
          <w:sz w:val="44"/>
          <w:szCs w:val="44"/>
        </w:rPr>
        <w:t>Comparing lattices</w:t>
      </w:r>
    </w:p>
    <w:p w14:paraId="46F713A6" w14:textId="77777777" w:rsidR="00201AC2" w:rsidRDefault="00201AC2" w:rsidP="00201AC2">
      <w:pPr>
        <w:spacing w:after="180"/>
      </w:pPr>
    </w:p>
    <w:p w14:paraId="0FB9A950" w14:textId="7A6A2CB9" w:rsidR="00201AC2" w:rsidRDefault="004F31D5" w:rsidP="00F44375">
      <w:pPr>
        <w:spacing w:line="276" w:lineRule="auto"/>
      </w:pPr>
      <w:r w:rsidRPr="001D683E">
        <w:t>Sodium chloride and caesium chloride have different lattice structures.</w:t>
      </w:r>
    </w:p>
    <w:p w14:paraId="5642B70F" w14:textId="59BCCC68" w:rsidR="004F31D5" w:rsidRDefault="001D683E" w:rsidP="00F44375">
      <w:pPr>
        <w:spacing w:line="276" w:lineRule="auto"/>
      </w:pPr>
      <w:r>
        <w:rPr>
          <w:noProof/>
        </w:rPr>
        <w:drawing>
          <wp:anchor distT="0" distB="0" distL="114300" distR="114300" simplePos="0" relativeHeight="251659264" behindDoc="0" locked="0" layoutInCell="1" allowOverlap="1" wp14:anchorId="057F747F" wp14:editId="042A034D">
            <wp:simplePos x="0" y="0"/>
            <wp:positionH relativeFrom="margin">
              <wp:posOffset>2324100</wp:posOffset>
            </wp:positionH>
            <wp:positionV relativeFrom="paragraph">
              <wp:posOffset>8255</wp:posOffset>
            </wp:positionV>
            <wp:extent cx="1607820" cy="188658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7820" cy="1886585"/>
                    </a:xfrm>
                    <a:prstGeom prst="rect">
                      <a:avLst/>
                    </a:prstGeom>
                  </pic:spPr>
                </pic:pic>
              </a:graphicData>
            </a:graphic>
            <wp14:sizeRelH relativeFrom="margin">
              <wp14:pctWidth>0</wp14:pctWidth>
            </wp14:sizeRelH>
            <wp14:sizeRelV relativeFrom="margin">
              <wp14:pctHeight>0</wp14:pctHeight>
            </wp14:sizeRelV>
          </wp:anchor>
        </w:drawing>
      </w:r>
      <w:r w:rsidR="00BE01AD">
        <w:rPr>
          <w:noProof/>
        </w:rPr>
        <w:drawing>
          <wp:anchor distT="0" distB="0" distL="114300" distR="114300" simplePos="0" relativeHeight="251658240" behindDoc="0" locked="0" layoutInCell="1" allowOverlap="1" wp14:anchorId="631C75AB" wp14:editId="15A99BAE">
            <wp:simplePos x="0" y="0"/>
            <wp:positionH relativeFrom="column">
              <wp:posOffset>0</wp:posOffset>
            </wp:positionH>
            <wp:positionV relativeFrom="paragraph">
              <wp:posOffset>635</wp:posOffset>
            </wp:positionV>
            <wp:extent cx="1469784" cy="1920240"/>
            <wp:effectExtent l="0" t="0" r="0" b="3810"/>
            <wp:wrapSquare wrapText="bothSides"/>
            <wp:docPr id="2" name="Picture 2" descr="A picture containing lin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ine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9784" cy="1920240"/>
                    </a:xfrm>
                    <a:prstGeom prst="rect">
                      <a:avLst/>
                    </a:prstGeom>
                  </pic:spPr>
                </pic:pic>
              </a:graphicData>
            </a:graphic>
          </wp:anchor>
        </w:drawing>
      </w:r>
      <w:r w:rsidR="00BE01AD">
        <w:t xml:space="preserve"> </w:t>
      </w:r>
    </w:p>
    <w:p w14:paraId="308A7AC8" w14:textId="0E75D6C4" w:rsidR="004F31D5" w:rsidRDefault="004F31D5" w:rsidP="00F44375">
      <w:pPr>
        <w:spacing w:line="276" w:lineRule="auto"/>
      </w:pPr>
    </w:p>
    <w:p w14:paraId="23F0A5B2" w14:textId="26C6238D" w:rsidR="002F41B2" w:rsidRDefault="002F41B2" w:rsidP="002F41B2">
      <w:pPr>
        <w:spacing w:after="180"/>
      </w:pPr>
    </w:p>
    <w:p w14:paraId="1A4E9AB0" w14:textId="445C84F9" w:rsidR="00BE01AD" w:rsidRDefault="00BE01AD" w:rsidP="002F41B2">
      <w:pPr>
        <w:spacing w:after="180"/>
      </w:pPr>
    </w:p>
    <w:p w14:paraId="5B331D8C" w14:textId="76E607DB" w:rsidR="00BE01AD" w:rsidRDefault="00BE01AD" w:rsidP="002F41B2">
      <w:pPr>
        <w:spacing w:after="180"/>
      </w:pPr>
    </w:p>
    <w:p w14:paraId="7A31A2A1" w14:textId="7FE0F44D" w:rsidR="00BE01AD" w:rsidRDefault="00BE01AD" w:rsidP="002F41B2">
      <w:pPr>
        <w:spacing w:after="180"/>
      </w:pPr>
    </w:p>
    <w:p w14:paraId="6F353BC4" w14:textId="3B6FE9F6" w:rsidR="00BE01AD" w:rsidRDefault="001D683E" w:rsidP="002F41B2">
      <w:pPr>
        <w:spacing w:after="180"/>
      </w:pPr>
      <w:r>
        <w:tab/>
      </w:r>
      <w:r>
        <w:tab/>
      </w:r>
      <w:r>
        <w:tab/>
      </w:r>
    </w:p>
    <w:p w14:paraId="62AB037E" w14:textId="3F5FF49F" w:rsidR="00BE01AD" w:rsidRDefault="00BE01AD" w:rsidP="002F41B2">
      <w:pPr>
        <w:spacing w:after="180"/>
      </w:pPr>
    </w:p>
    <w:p w14:paraId="26A98C01" w14:textId="5435749C" w:rsidR="00BE01AD" w:rsidRDefault="00BE01AD" w:rsidP="002F41B2">
      <w:pPr>
        <w:spacing w:after="180"/>
      </w:pPr>
    </w:p>
    <w:p w14:paraId="5230EC66" w14:textId="5FF1B8DE" w:rsidR="00201AC2" w:rsidRDefault="00201AC2" w:rsidP="00F44375">
      <w:pPr>
        <w:pStyle w:val="ListParagraph"/>
        <w:numPr>
          <w:ilvl w:val="0"/>
          <w:numId w:val="3"/>
        </w:numPr>
        <w:spacing w:after="180"/>
        <w:ind w:left="426" w:hanging="426"/>
        <w:contextualSpacing w:val="0"/>
      </w:pPr>
    </w:p>
    <w:p w14:paraId="3B4947B9" w14:textId="03A44462" w:rsidR="001D683E" w:rsidRDefault="004F31D5" w:rsidP="001D683E">
      <w:pPr>
        <w:pStyle w:val="ListParagraph"/>
        <w:numPr>
          <w:ilvl w:val="1"/>
          <w:numId w:val="3"/>
        </w:numPr>
        <w:spacing w:after="180"/>
        <w:ind w:left="851" w:hanging="425"/>
        <w:contextualSpacing w:val="0"/>
      </w:pPr>
      <w:r>
        <w:t xml:space="preserve">Count the number of chloride ions that surround a central sodium ion. </w:t>
      </w:r>
    </w:p>
    <w:p w14:paraId="1016D188" w14:textId="4FE01DBF" w:rsidR="003854EC" w:rsidRDefault="00226767" w:rsidP="003854EC">
      <w:pPr>
        <w:pStyle w:val="ListParagraph"/>
        <w:spacing w:after="180"/>
        <w:ind w:left="851"/>
        <w:contextualSpacing w:val="0"/>
      </w:pPr>
      <w:r>
        <w:rPr>
          <w:noProof/>
        </w:rPr>
        <w:drawing>
          <wp:anchor distT="0" distB="0" distL="114300" distR="114300" simplePos="0" relativeHeight="251660288" behindDoc="0" locked="0" layoutInCell="1" allowOverlap="1" wp14:anchorId="7FE8086B" wp14:editId="65740370">
            <wp:simplePos x="0" y="0"/>
            <wp:positionH relativeFrom="column">
              <wp:posOffset>967740</wp:posOffset>
            </wp:positionH>
            <wp:positionV relativeFrom="paragraph">
              <wp:posOffset>140970</wp:posOffset>
            </wp:positionV>
            <wp:extent cx="768985" cy="998220"/>
            <wp:effectExtent l="0" t="0" r="0" b="0"/>
            <wp:wrapSquare wrapText="bothSides"/>
            <wp:docPr id="7" name="Picture 7" descr="A picture containing indoor, gree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indoor, green, dar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8985" cy="998220"/>
                    </a:xfrm>
                    <a:prstGeom prst="rect">
                      <a:avLst/>
                    </a:prstGeom>
                  </pic:spPr>
                </pic:pic>
              </a:graphicData>
            </a:graphic>
            <wp14:sizeRelH relativeFrom="margin">
              <wp14:pctWidth>0</wp14:pctWidth>
            </wp14:sizeRelH>
            <wp14:sizeRelV relativeFrom="margin">
              <wp14:pctHeight>0</wp14:pctHeight>
            </wp14:sizeRelV>
          </wp:anchor>
        </w:drawing>
      </w:r>
    </w:p>
    <w:p w14:paraId="21379D44" w14:textId="4843743D" w:rsidR="003F0B96" w:rsidRDefault="003F0B96" w:rsidP="003854EC">
      <w:pPr>
        <w:pStyle w:val="ListParagraph"/>
        <w:spacing w:after="180"/>
        <w:ind w:left="851"/>
        <w:contextualSpacing w:val="0"/>
      </w:pPr>
    </w:p>
    <w:p w14:paraId="741F2F24" w14:textId="12B79941" w:rsidR="003F0B96" w:rsidRDefault="003F0B96" w:rsidP="003854EC">
      <w:pPr>
        <w:pStyle w:val="ListParagraph"/>
        <w:spacing w:after="180"/>
        <w:ind w:left="851"/>
        <w:contextualSpacing w:val="0"/>
      </w:pPr>
    </w:p>
    <w:p w14:paraId="2A75533D" w14:textId="77777777" w:rsidR="00226767" w:rsidRDefault="00226767" w:rsidP="00226767">
      <w:pPr>
        <w:pStyle w:val="ListParagraph"/>
        <w:spacing w:after="180"/>
        <w:ind w:left="851"/>
        <w:contextualSpacing w:val="0"/>
      </w:pPr>
    </w:p>
    <w:p w14:paraId="4E0C3659" w14:textId="77777777" w:rsidR="00226767" w:rsidRDefault="00226767" w:rsidP="00226767">
      <w:pPr>
        <w:pStyle w:val="ListParagraph"/>
        <w:spacing w:after="180"/>
        <w:ind w:left="851"/>
        <w:contextualSpacing w:val="0"/>
      </w:pPr>
    </w:p>
    <w:p w14:paraId="714A85BD" w14:textId="33B1FB8E" w:rsidR="004F31D5" w:rsidRDefault="004F31D5" w:rsidP="00F44375">
      <w:pPr>
        <w:pStyle w:val="ListParagraph"/>
        <w:numPr>
          <w:ilvl w:val="1"/>
          <w:numId w:val="3"/>
        </w:numPr>
        <w:spacing w:after="180"/>
        <w:ind w:left="851" w:hanging="425"/>
        <w:contextualSpacing w:val="0"/>
      </w:pPr>
      <w:r>
        <w:t>Count the number of chloride ions that surround a central caesium ion.</w:t>
      </w:r>
    </w:p>
    <w:p w14:paraId="729E833E" w14:textId="287F106E" w:rsidR="001D683E" w:rsidRDefault="003F0B96" w:rsidP="001D683E">
      <w:pPr>
        <w:pStyle w:val="ListParagraph"/>
        <w:spacing w:after="180"/>
        <w:contextualSpacing w:val="0"/>
      </w:pPr>
      <w:r>
        <w:rPr>
          <w:noProof/>
        </w:rPr>
        <w:drawing>
          <wp:anchor distT="0" distB="0" distL="114300" distR="114300" simplePos="0" relativeHeight="251661312" behindDoc="0" locked="0" layoutInCell="1" allowOverlap="1" wp14:anchorId="13BFB6C2" wp14:editId="61348EE3">
            <wp:simplePos x="0" y="0"/>
            <wp:positionH relativeFrom="column">
              <wp:posOffset>723900</wp:posOffset>
            </wp:positionH>
            <wp:positionV relativeFrom="paragraph">
              <wp:posOffset>198120</wp:posOffset>
            </wp:positionV>
            <wp:extent cx="943610" cy="914400"/>
            <wp:effectExtent l="0" t="0" r="889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3610" cy="914400"/>
                    </a:xfrm>
                    <a:prstGeom prst="rect">
                      <a:avLst/>
                    </a:prstGeom>
                  </pic:spPr>
                </pic:pic>
              </a:graphicData>
            </a:graphic>
            <wp14:sizeRelH relativeFrom="margin">
              <wp14:pctWidth>0</wp14:pctWidth>
            </wp14:sizeRelH>
            <wp14:sizeRelV relativeFrom="margin">
              <wp14:pctHeight>0</wp14:pctHeight>
            </wp14:sizeRelV>
          </wp:anchor>
        </w:drawing>
      </w:r>
    </w:p>
    <w:p w14:paraId="4403F36A" w14:textId="77777777" w:rsidR="001D683E" w:rsidRDefault="001D683E" w:rsidP="001D683E">
      <w:pPr>
        <w:pStyle w:val="ListParagraph"/>
        <w:spacing w:after="180"/>
        <w:contextualSpacing w:val="0"/>
      </w:pPr>
    </w:p>
    <w:p w14:paraId="592D64D8" w14:textId="77777777" w:rsidR="003F0B96" w:rsidRDefault="003F0B96" w:rsidP="003F0B96">
      <w:pPr>
        <w:pStyle w:val="ListParagraph"/>
        <w:spacing w:after="180"/>
        <w:ind w:left="851"/>
        <w:contextualSpacing w:val="0"/>
      </w:pPr>
    </w:p>
    <w:p w14:paraId="548FA165" w14:textId="77777777" w:rsidR="003F0B96" w:rsidRDefault="003F0B96" w:rsidP="003F0B96">
      <w:pPr>
        <w:pStyle w:val="ListParagraph"/>
        <w:spacing w:after="180"/>
        <w:ind w:left="851"/>
        <w:contextualSpacing w:val="0"/>
      </w:pPr>
    </w:p>
    <w:p w14:paraId="2C4FE5CF" w14:textId="77777777" w:rsidR="003F0B96" w:rsidRDefault="003F0B96" w:rsidP="003F0B96">
      <w:pPr>
        <w:pStyle w:val="ListParagraph"/>
        <w:spacing w:after="180"/>
        <w:ind w:left="851"/>
        <w:contextualSpacing w:val="0"/>
      </w:pPr>
    </w:p>
    <w:p w14:paraId="15267991" w14:textId="77777777" w:rsidR="00226767" w:rsidRDefault="00226767" w:rsidP="00226767">
      <w:pPr>
        <w:pStyle w:val="ListParagraph"/>
        <w:spacing w:after="180"/>
        <w:ind w:left="851"/>
        <w:contextualSpacing w:val="0"/>
      </w:pPr>
    </w:p>
    <w:p w14:paraId="53851B05" w14:textId="0AA7436B" w:rsidR="00201AC2" w:rsidRPr="004F31D5" w:rsidRDefault="006C2C15" w:rsidP="004F31D5">
      <w:pPr>
        <w:pStyle w:val="ListParagraph"/>
        <w:numPr>
          <w:ilvl w:val="1"/>
          <w:numId w:val="3"/>
        </w:numPr>
        <w:spacing w:after="180"/>
        <w:ind w:left="851" w:hanging="425"/>
        <w:contextualSpacing w:val="0"/>
      </w:pPr>
      <w:r>
        <w:t xml:space="preserve">Explain why you think the two compounds have different </w:t>
      </w:r>
      <w:r w:rsidR="005E19D4">
        <w:t xml:space="preserve">arrangement of ions. </w:t>
      </w:r>
    </w:p>
    <w:p w14:paraId="346A5F4A" w14:textId="77777777" w:rsidR="00201AC2" w:rsidRPr="00201AC2" w:rsidRDefault="00201AC2" w:rsidP="006F3279">
      <w:pPr>
        <w:spacing w:after="240"/>
        <w:rPr>
          <w:szCs w:val="18"/>
        </w:rPr>
      </w:pPr>
    </w:p>
    <w:p w14:paraId="6FD676DE"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119B0C73" w14:textId="6A4B9D3F"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F228E5">
        <w:rPr>
          <w:i/>
          <w:sz w:val="18"/>
          <w:szCs w:val="18"/>
        </w:rPr>
        <w:t>CPS: Particles and structure</w:t>
      </w:r>
      <w:r>
        <w:rPr>
          <w:i/>
          <w:sz w:val="18"/>
          <w:szCs w:val="18"/>
        </w:rPr>
        <w:t xml:space="preserve"> &gt; Topic </w:t>
      </w:r>
      <w:r w:rsidR="00F228E5">
        <w:rPr>
          <w:i/>
          <w:sz w:val="18"/>
          <w:szCs w:val="18"/>
        </w:rPr>
        <w:t>CPS8: Ionic bonding</w:t>
      </w:r>
      <w:r w:rsidRPr="00CA4B46">
        <w:rPr>
          <w:i/>
          <w:sz w:val="18"/>
          <w:szCs w:val="18"/>
        </w:rPr>
        <w:t xml:space="preserve"> &gt; </w:t>
      </w:r>
      <w:r>
        <w:rPr>
          <w:i/>
          <w:sz w:val="18"/>
          <w:szCs w:val="18"/>
        </w:rPr>
        <w:t>Key concept</w:t>
      </w:r>
      <w:r w:rsidRPr="00CA4B46">
        <w:rPr>
          <w:i/>
          <w:sz w:val="18"/>
          <w:szCs w:val="18"/>
        </w:rPr>
        <w:t xml:space="preserve"> </w:t>
      </w:r>
      <w:r w:rsidR="00F228E5">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7C62EBB" w14:textId="77777777" w:rsidTr="001C2E59">
        <w:tc>
          <w:tcPr>
            <w:tcW w:w="12021" w:type="dxa"/>
            <w:shd w:val="clear" w:color="auto" w:fill="FABF8F" w:themeFill="accent6" w:themeFillTint="99"/>
          </w:tcPr>
          <w:p w14:paraId="04395D8A"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565ED58" w14:textId="77777777" w:rsidTr="001C2E59">
        <w:tc>
          <w:tcPr>
            <w:tcW w:w="12021" w:type="dxa"/>
            <w:shd w:val="clear" w:color="auto" w:fill="FBD4B4" w:themeFill="accent6" w:themeFillTint="66"/>
          </w:tcPr>
          <w:p w14:paraId="78FB8D3A" w14:textId="5118A759" w:rsidR="006F3279" w:rsidRPr="00CA4B46" w:rsidRDefault="00F228E5" w:rsidP="006F3279">
            <w:pPr>
              <w:spacing w:after="60"/>
              <w:ind w:left="1304"/>
              <w:rPr>
                <w:b/>
                <w:sz w:val="40"/>
                <w:szCs w:val="40"/>
              </w:rPr>
            </w:pPr>
            <w:r>
              <w:rPr>
                <w:b/>
                <w:sz w:val="40"/>
                <w:szCs w:val="40"/>
              </w:rPr>
              <w:t>Comparing lattices</w:t>
            </w:r>
          </w:p>
        </w:tc>
      </w:tr>
    </w:tbl>
    <w:p w14:paraId="124F2BCD" w14:textId="77777777" w:rsidR="006F3279" w:rsidRDefault="006F3279" w:rsidP="00E172C6">
      <w:pPr>
        <w:spacing w:after="180"/>
        <w:rPr>
          <w:b/>
        </w:rPr>
      </w:pPr>
    </w:p>
    <w:p w14:paraId="0250215B"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228E5" w14:paraId="2EB60DFA" w14:textId="77777777" w:rsidTr="00F228E5">
        <w:trPr>
          <w:trHeight w:val="340"/>
        </w:trPr>
        <w:tc>
          <w:tcPr>
            <w:tcW w:w="2196" w:type="dxa"/>
          </w:tcPr>
          <w:p w14:paraId="571C5748" w14:textId="77777777" w:rsidR="00F228E5" w:rsidRDefault="00F228E5" w:rsidP="00F228E5">
            <w:pPr>
              <w:spacing w:before="60" w:after="60"/>
            </w:pPr>
            <w:r>
              <w:t>Learning focus:</w:t>
            </w:r>
          </w:p>
        </w:tc>
        <w:tc>
          <w:tcPr>
            <w:tcW w:w="6820" w:type="dxa"/>
          </w:tcPr>
          <w:p w14:paraId="090B8E61" w14:textId="25E7FAA4" w:rsidR="00F228E5" w:rsidRPr="00B75483" w:rsidRDefault="00F228E5" w:rsidP="00F228E5">
            <w:pPr>
              <w:spacing w:before="60" w:after="60"/>
              <w:rPr>
                <w:highlight w:val="yellow"/>
              </w:rPr>
            </w:pPr>
            <w:r>
              <w:t>Ionic bonding occurs due to the electrostatic attraction between oppositely charged ions in an ionic lattice.</w:t>
            </w:r>
          </w:p>
        </w:tc>
      </w:tr>
      <w:tr w:rsidR="00F228E5" w14:paraId="5515FA30" w14:textId="77777777" w:rsidTr="00F228E5">
        <w:trPr>
          <w:trHeight w:val="340"/>
        </w:trPr>
        <w:tc>
          <w:tcPr>
            <w:tcW w:w="2196" w:type="dxa"/>
          </w:tcPr>
          <w:p w14:paraId="194307DD" w14:textId="77777777" w:rsidR="00F228E5" w:rsidRDefault="00F228E5" w:rsidP="00F228E5">
            <w:pPr>
              <w:spacing w:before="60" w:after="60"/>
            </w:pPr>
            <w:r>
              <w:t>Observable learning outcome:</w:t>
            </w:r>
          </w:p>
        </w:tc>
        <w:tc>
          <w:tcPr>
            <w:tcW w:w="6820" w:type="dxa"/>
          </w:tcPr>
          <w:p w14:paraId="106DC438" w14:textId="4F871ED3" w:rsidR="00F228E5" w:rsidRPr="00B75483" w:rsidRDefault="00F228E5" w:rsidP="00F228E5">
            <w:pPr>
              <w:spacing w:before="60" w:after="60"/>
              <w:rPr>
                <w:highlight w:val="yellow"/>
              </w:rPr>
            </w:pPr>
            <w:r>
              <w:t>Recognise that the number of ionic bonds formed by an ion is determined by the arrangement of ions in the lattice.</w:t>
            </w:r>
          </w:p>
        </w:tc>
      </w:tr>
      <w:tr w:rsidR="00F228E5" w14:paraId="2BCBBCB5" w14:textId="77777777" w:rsidTr="00F228E5">
        <w:trPr>
          <w:trHeight w:val="340"/>
        </w:trPr>
        <w:tc>
          <w:tcPr>
            <w:tcW w:w="2196" w:type="dxa"/>
          </w:tcPr>
          <w:p w14:paraId="472BEF09" w14:textId="77777777" w:rsidR="00F228E5" w:rsidRDefault="00F228E5" w:rsidP="00F228E5">
            <w:pPr>
              <w:spacing w:before="60" w:after="60"/>
            </w:pPr>
            <w:r>
              <w:t>Activity type:</w:t>
            </w:r>
          </w:p>
        </w:tc>
        <w:tc>
          <w:tcPr>
            <w:tcW w:w="6820" w:type="dxa"/>
          </w:tcPr>
          <w:p w14:paraId="40DA552D" w14:textId="2E32BA94" w:rsidR="00F228E5" w:rsidRPr="001915D4" w:rsidRDefault="00F228E5" w:rsidP="00F228E5">
            <w:pPr>
              <w:spacing w:before="60" w:after="60"/>
              <w:rPr>
                <w:highlight w:val="yellow"/>
              </w:rPr>
            </w:pPr>
            <w:r w:rsidRPr="00F228E5">
              <w:t>Challenge to thinking</w:t>
            </w:r>
          </w:p>
        </w:tc>
      </w:tr>
      <w:tr w:rsidR="00F228E5" w14:paraId="47F2B858" w14:textId="77777777" w:rsidTr="00F228E5">
        <w:trPr>
          <w:trHeight w:val="340"/>
        </w:trPr>
        <w:tc>
          <w:tcPr>
            <w:tcW w:w="2196" w:type="dxa"/>
          </w:tcPr>
          <w:p w14:paraId="42134631" w14:textId="77777777" w:rsidR="00F228E5" w:rsidRDefault="00F228E5" w:rsidP="00F228E5">
            <w:pPr>
              <w:spacing w:before="60" w:after="60"/>
            </w:pPr>
            <w:r>
              <w:t>Key words:</w:t>
            </w:r>
          </w:p>
        </w:tc>
        <w:tc>
          <w:tcPr>
            <w:tcW w:w="6820" w:type="dxa"/>
          </w:tcPr>
          <w:p w14:paraId="5E5DB5B9" w14:textId="27066873" w:rsidR="00F228E5" w:rsidRPr="001C4805" w:rsidRDefault="00F228E5" w:rsidP="00F228E5">
            <w:pPr>
              <w:spacing w:before="60" w:after="60"/>
              <w:rPr>
                <w:highlight w:val="yellow"/>
              </w:rPr>
            </w:pPr>
            <w:r>
              <w:t>Ion, bond charge, lattice</w:t>
            </w:r>
          </w:p>
        </w:tc>
      </w:tr>
    </w:tbl>
    <w:p w14:paraId="4596D944" w14:textId="77777777" w:rsidR="00E172C6" w:rsidRDefault="00E172C6" w:rsidP="00E172C6">
      <w:pPr>
        <w:spacing w:after="180"/>
      </w:pPr>
    </w:p>
    <w:p w14:paraId="4719E29D" w14:textId="3FCF1DAF" w:rsidR="006A320F" w:rsidRDefault="006A320F" w:rsidP="006A320F">
      <w:pPr>
        <w:spacing w:after="180"/>
      </w:pPr>
      <w:r>
        <w:t xml:space="preserve">This activity can help develop students’ understanding by addressing the </w:t>
      </w:r>
      <w:r w:rsidR="00226767">
        <w:t>misunderstandings</w:t>
      </w:r>
      <w:r>
        <w:t xml:space="preserve"> revealed by the following diagnostic question</w:t>
      </w:r>
      <w:r w:rsidRPr="006E0400">
        <w:t>:</w:t>
      </w:r>
    </w:p>
    <w:p w14:paraId="471783DE" w14:textId="384FB567" w:rsidR="00456227" w:rsidRPr="00A6111E" w:rsidRDefault="00F228E5" w:rsidP="00456227">
      <w:pPr>
        <w:pStyle w:val="ListParagraph"/>
        <w:numPr>
          <w:ilvl w:val="0"/>
          <w:numId w:val="1"/>
        </w:numPr>
        <w:spacing w:after="180"/>
      </w:pPr>
      <w:r>
        <w:t>Comparing 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0F08B673" w14:textId="77777777" w:rsidTr="001C2E59">
        <w:tc>
          <w:tcPr>
            <w:tcW w:w="709" w:type="dxa"/>
            <w:shd w:val="clear" w:color="auto" w:fill="FABF8F" w:themeFill="accent6" w:themeFillTint="99"/>
            <w:tcMar>
              <w:left w:w="28" w:type="dxa"/>
              <w:bottom w:w="57" w:type="dxa"/>
              <w:right w:w="28" w:type="dxa"/>
            </w:tcMar>
            <w:vAlign w:val="center"/>
          </w:tcPr>
          <w:p w14:paraId="73C247EB"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7F4E05F1"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6F46ED41" w14:textId="77777777" w:rsidR="00F72ECC" w:rsidRDefault="00F72ECC" w:rsidP="00F44375">
            <w:r w:rsidRPr="00F72ECC">
              <w:rPr>
                <w:sz w:val="20"/>
              </w:rPr>
              <w:t xml:space="preserve">This activity </w:t>
            </w:r>
            <w:r w:rsidR="00806B12">
              <w:rPr>
                <w:sz w:val="20"/>
              </w:rPr>
              <w:t xml:space="preserve">explores ideas that are usually taught at age </w:t>
            </w:r>
            <w:r w:rsidR="00F44375">
              <w:rPr>
                <w:sz w:val="20"/>
              </w:rPr>
              <w:t>16-19</w:t>
            </w:r>
            <w:r w:rsidR="00806B12">
              <w:rPr>
                <w:sz w:val="20"/>
              </w:rPr>
              <w:t xml:space="preserve">,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5C4C198A" w14:textId="77777777" w:rsidR="00F72ECC" w:rsidRDefault="00F72ECC" w:rsidP="00F72ECC"/>
    <w:p w14:paraId="6E7CB313"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7B1C2E24" w14:textId="77777777" w:rsidR="00226767" w:rsidRDefault="00226767" w:rsidP="00226767">
      <w:pPr>
        <w:spacing w:after="180"/>
      </w:pPr>
      <w:r>
        <w:t xml:space="preserve">In their chapter on bonding 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cite </w:t>
      </w:r>
      <w:r w:rsidRPr="00A44B82">
        <w:t xml:space="preserve">research by John Oversby </w:t>
      </w:r>
      <w:r w:rsidRPr="00A44B82">
        <w:fldChar w:fldCharType="begin"/>
      </w:r>
      <w:r w:rsidRPr="00A44B82">
        <w:instrText xml:space="preserve"> ADDIN EN.CITE &lt;EndNote&gt;&lt;Cite ExcludeAuth="1"&gt;&lt;Author&gt;Oversby&lt;/Author&gt;&lt;Year&gt;1996&lt;/Year&gt;&lt;IDText&gt;The ionic bond&lt;/IDText&gt;&lt;DisplayText&gt;(1996)&lt;/DisplayText&gt;&lt;record&gt;&lt;titles&gt;&lt;title&gt;The ionic bond&lt;/title&gt;&lt;secondary-title&gt;Education in Chemistry&lt;/secondary-title&gt;&lt;/titles&gt;&lt;pages&gt;37-38&lt;/pages&gt;&lt;number&gt;2&lt;/number&gt;&lt;contributors&gt;&lt;authors&gt;&lt;author&gt;Oversby, John&lt;/author&gt;&lt;/authors&gt;&lt;/contributors&gt;&lt;added-date format="utc"&gt;1606486141&lt;/added-date&gt;&lt;ref-type name="Journal Article"&gt;17&lt;/ref-type&gt;&lt;dates&gt;&lt;year&gt;1996&lt;/year&gt;&lt;/dates&gt;&lt;rec-number&gt;141&lt;/rec-number&gt;&lt;last-updated-date format="utc"&gt;1606486228&lt;/last-updated-date&gt;&lt;volume&gt;33&lt;/volume&gt;&lt;/record&gt;&lt;/Cite&gt;&lt;/EndNote&gt;</w:instrText>
      </w:r>
      <w:r w:rsidRPr="00A44B82">
        <w:fldChar w:fldCharType="separate"/>
      </w:r>
      <w:r w:rsidRPr="00A44B82">
        <w:rPr>
          <w:noProof/>
        </w:rPr>
        <w:t>(1996)</w:t>
      </w:r>
      <w:r w:rsidRPr="00A44B82">
        <w:fldChar w:fldCharType="end"/>
      </w:r>
      <w:r>
        <w:t xml:space="preserve"> which found that even after university teaching some post-graduate trainee teachers considered some alternative conceptions about ionic bonding to be acceptable. As discussed in a paper by Taber, Tsaparlis and </w:t>
      </w:r>
      <w:r>
        <w:rPr>
          <w:noProof/>
        </w:rPr>
        <w:t>Nakiboğlu</w:t>
      </w:r>
      <w:r>
        <w:t xml:space="preserve"> </w:t>
      </w:r>
      <w:r>
        <w:fldChar w:fldCharType="begin"/>
      </w:r>
      <w:r>
        <w:instrText xml:space="preserve"> ADDIN EN.CITE &lt;EndNote&gt;&lt;Cite ExcludeAuth="1"&gt;&lt;Author&gt;Taber&lt;/Author&gt;&lt;Year&gt;2012&lt;/Year&gt;&lt;IDText&gt;Student conceptions of ionic bonding: Patterns of thinking across three European contexts&lt;/IDText&gt;&lt;DisplayText&gt;(2012)&lt;/DisplayText&gt;&lt;record&gt;&lt;titles&gt;&lt;title&gt;Student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(2012)</w:t>
      </w:r>
      <w:r>
        <w:fldChar w:fldCharType="end"/>
      </w:r>
      <w:r>
        <w:t xml:space="preserve"> the key misunderstanding was that an ionic bond only exists where an electron has been transferred. This leads to the further alternative conception that where electron transfer has not occurred, ions were held together by “forces of attraction” and not bonds. The trainee teachers also incorrectly deduced that ions could only bond to the number of counter ions allowed by their valency.</w:t>
      </w:r>
    </w:p>
    <w:p w14:paraId="237AA733"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8B97AE1" w14:textId="0F9B72F0" w:rsidR="00F228E5" w:rsidRDefault="00F228E5" w:rsidP="00F228E5">
      <w:r w:rsidRPr="00DD2CB9">
        <w:t xml:space="preserve">This </w:t>
      </w:r>
      <w:r>
        <w:t xml:space="preserve">activity gives you the opportunity to explore and extend your students’ understanding through a structured teacher led discussion.  </w:t>
      </w:r>
    </w:p>
    <w:p w14:paraId="59951CC1" w14:textId="487D0176" w:rsidR="00F228E5" w:rsidRDefault="00F228E5" w:rsidP="00F228E5"/>
    <w:p w14:paraId="7EADF48A" w14:textId="1FF1EA7A" w:rsidR="00F228E5" w:rsidRDefault="00F228E5" w:rsidP="00F228E5">
      <w:r>
        <w:t>If using the print resource</w:t>
      </w:r>
      <w:r w:rsidR="00226767">
        <w:t>,</w:t>
      </w:r>
      <w:r>
        <w:t xml:space="preserve"> you will need to ask students </w:t>
      </w:r>
      <w:r w:rsidR="00226767">
        <w:t>to decide whether the following statement is true or false.</w:t>
      </w:r>
    </w:p>
    <w:p w14:paraId="1EBD01EB" w14:textId="77777777" w:rsidR="005E19D4" w:rsidRDefault="005E19D4" w:rsidP="00F228E5"/>
    <w:p w14:paraId="47134F49" w14:textId="250EC0FA" w:rsidR="00226767" w:rsidRPr="005E19D4" w:rsidRDefault="00226767" w:rsidP="00F228E5">
      <w:pPr>
        <w:rPr>
          <w:i/>
          <w:iCs/>
        </w:rPr>
      </w:pPr>
      <w:r w:rsidRPr="005E19D4">
        <w:rPr>
          <w:i/>
          <w:iCs/>
        </w:rPr>
        <w:t xml:space="preserve">Sodium ions </w:t>
      </w:r>
      <w:r w:rsidR="005E19D4">
        <w:rPr>
          <w:i/>
          <w:iCs/>
        </w:rPr>
        <w:t>(Na</w:t>
      </w:r>
      <w:r w:rsidR="005E19D4">
        <w:rPr>
          <w:i/>
          <w:iCs/>
          <w:vertAlign w:val="superscript"/>
        </w:rPr>
        <w:t>+</w:t>
      </w:r>
      <w:r w:rsidR="005E19D4">
        <w:rPr>
          <w:i/>
          <w:iCs/>
        </w:rPr>
        <w:t xml:space="preserve">) </w:t>
      </w:r>
      <w:r w:rsidRPr="005E19D4">
        <w:rPr>
          <w:i/>
          <w:iCs/>
        </w:rPr>
        <w:t xml:space="preserve">and caesium ions </w:t>
      </w:r>
      <w:r w:rsidR="005E19D4">
        <w:rPr>
          <w:i/>
          <w:iCs/>
        </w:rPr>
        <w:t>(Cs</w:t>
      </w:r>
      <w:r w:rsidR="005E19D4">
        <w:rPr>
          <w:i/>
          <w:iCs/>
          <w:vertAlign w:val="superscript"/>
        </w:rPr>
        <w:t>+</w:t>
      </w:r>
      <w:r w:rsidR="005E19D4">
        <w:rPr>
          <w:i/>
          <w:iCs/>
        </w:rPr>
        <w:t xml:space="preserve">) </w:t>
      </w:r>
      <w:r w:rsidRPr="005E19D4">
        <w:rPr>
          <w:i/>
          <w:iCs/>
        </w:rPr>
        <w:t>form the same number of ionic bonds with chloride ions (Cl).</w:t>
      </w:r>
    </w:p>
    <w:p w14:paraId="71993AE3" w14:textId="1E750270" w:rsidR="00F228E5" w:rsidRDefault="00F228E5" w:rsidP="00F228E5"/>
    <w:p w14:paraId="4B3A7B88" w14:textId="036A6E1B" w:rsidR="004F31D5" w:rsidRDefault="00F228E5" w:rsidP="00F228E5">
      <w:r>
        <w:t>You may wish to ask students to explain the reasoning behind their initial answer</w:t>
      </w:r>
      <w:r w:rsidR="004F31D5">
        <w:t xml:space="preserve"> to the question before moving on to the ionic lattice diagrams which have been selected to challenge students’ thinking. </w:t>
      </w:r>
      <w:r w:rsidR="005E19D4">
        <w:t xml:space="preserve"> </w:t>
      </w:r>
      <w:r w:rsidR="004F31D5">
        <w:t>This activity also provides an opportunity to bridge the gap to further study of unit cells and coordination numbers.</w:t>
      </w:r>
    </w:p>
    <w:p w14:paraId="5299FE32" w14:textId="77777777" w:rsidR="00F228E5" w:rsidRDefault="00F228E5" w:rsidP="00F228E5"/>
    <w:p w14:paraId="5FAB3D5F" w14:textId="77777777" w:rsidR="00F228E5" w:rsidRPr="00001055" w:rsidRDefault="00F228E5" w:rsidP="00F228E5">
      <w:pPr>
        <w:spacing w:after="120"/>
        <w:rPr>
          <w:i/>
        </w:rPr>
      </w:pPr>
      <w:r w:rsidRPr="00001055">
        <w:rPr>
          <w:i/>
        </w:rPr>
        <w:t>Differentiation</w:t>
      </w:r>
    </w:p>
    <w:p w14:paraId="475E4126" w14:textId="519B66C4" w:rsidR="00F228E5" w:rsidRDefault="004F31D5" w:rsidP="00F228E5">
      <w:pPr>
        <w:spacing w:after="120"/>
      </w:pPr>
      <w:r>
        <w:t xml:space="preserve">It may help some students to have a physical model of each structure to make counting </w:t>
      </w:r>
      <w:r w:rsidR="005E19D4">
        <w:t>the</w:t>
      </w:r>
      <w:r>
        <w:t xml:space="preserve"> nearest neighbours easier. It could also be possible for students to construct the two structures using modelling material. </w:t>
      </w:r>
    </w:p>
    <w:p w14:paraId="2C8EBFD6"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B622D4F" w14:textId="7B4A72EB" w:rsidR="00BF6C8A" w:rsidRDefault="006C2C15" w:rsidP="00BF6C8A">
      <w:pPr>
        <w:spacing w:after="180"/>
      </w:pPr>
      <w:r w:rsidRPr="006C2C15">
        <w:rPr>
          <w:b/>
          <w:bCs/>
        </w:rPr>
        <w:t>1a</w:t>
      </w:r>
      <w:r>
        <w:t xml:space="preserve"> A sodium ion is surrounded by six chloride ions.</w:t>
      </w:r>
    </w:p>
    <w:p w14:paraId="03DB60C7" w14:textId="1242429C" w:rsidR="006C2C15" w:rsidRDefault="006C2C15" w:rsidP="00BF6C8A">
      <w:pPr>
        <w:spacing w:after="180"/>
      </w:pPr>
      <w:r w:rsidRPr="006C2C15">
        <w:rPr>
          <w:b/>
          <w:bCs/>
        </w:rPr>
        <w:t>b</w:t>
      </w:r>
      <w:r>
        <w:t xml:space="preserve"> A caesium ion is surrounded by eight chloride ions.</w:t>
      </w:r>
    </w:p>
    <w:p w14:paraId="2A81F1EF" w14:textId="1F3AB3D1" w:rsidR="006C2C15" w:rsidRDefault="006C2C15" w:rsidP="00BF6C8A">
      <w:pPr>
        <w:spacing w:after="180"/>
      </w:pPr>
      <w:r w:rsidRPr="006C2C15">
        <w:rPr>
          <w:b/>
          <w:bCs/>
        </w:rPr>
        <w:t xml:space="preserve">c </w:t>
      </w:r>
      <w:r>
        <w:t xml:space="preserve">The lattice structures are different because a caesium ion is larger than a sodium ion. </w:t>
      </w:r>
    </w:p>
    <w:p w14:paraId="0071353A"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2139990" w14:textId="176A6C52" w:rsidR="00D278E8" w:rsidRDefault="00D278E8" w:rsidP="00E172C6">
      <w:pPr>
        <w:spacing w:after="180"/>
      </w:pPr>
      <w:r>
        <w:t xml:space="preserve">Developed </w:t>
      </w:r>
      <w:r w:rsidR="0015356E">
        <w:t xml:space="preserve">by </w:t>
      </w:r>
      <w:r w:rsidR="00F44375">
        <w:t>Helen Harden</w:t>
      </w:r>
      <w:r w:rsidR="0015356E">
        <w:t xml:space="preserve"> (UYSEG)</w:t>
      </w:r>
    </w:p>
    <w:p w14:paraId="14F6D23A" w14:textId="197B5691" w:rsidR="00CC78A5" w:rsidRDefault="00D278E8" w:rsidP="00E172C6">
      <w:pPr>
        <w:spacing w:after="180"/>
      </w:pPr>
      <w:r w:rsidRPr="0045323E">
        <w:t xml:space="preserve">Images: </w:t>
      </w:r>
      <w:r w:rsidR="00F44375">
        <w:t xml:space="preserve">Helen Harden </w:t>
      </w:r>
      <w:r w:rsidR="00BE01AD">
        <w:t xml:space="preserve">and Peter Fairhurst </w:t>
      </w:r>
      <w:r w:rsidR="00F44375">
        <w:t>(UYSEG)</w:t>
      </w:r>
    </w:p>
    <w:p w14:paraId="5BEBC0CA"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41ED254E" w14:textId="77777777" w:rsidR="0031449E" w:rsidRPr="0031449E" w:rsidRDefault="00156482" w:rsidP="0031449E">
      <w:pPr>
        <w:pStyle w:val="EndNoteBibliography"/>
      </w:pPr>
      <w:r>
        <w:fldChar w:fldCharType="begin"/>
      </w:r>
      <w:r>
        <w:instrText xml:space="preserve"> ADDIN EN.REFLIST </w:instrText>
      </w:r>
      <w:r>
        <w:fldChar w:fldCharType="separate"/>
      </w:r>
      <w:r w:rsidR="0031449E" w:rsidRPr="0031449E">
        <w:t xml:space="preserve">Oversby, J. (1996). The ionic bond. </w:t>
      </w:r>
      <w:r w:rsidR="0031449E" w:rsidRPr="0031449E">
        <w:rPr>
          <w:i/>
        </w:rPr>
        <w:t>Education in Chemistry,</w:t>
      </w:r>
      <w:r w:rsidR="0031449E" w:rsidRPr="0031449E">
        <w:t xml:space="preserve"> 33(2)</w:t>
      </w:r>
      <w:r w:rsidR="0031449E" w:rsidRPr="0031449E">
        <w:rPr>
          <w:b/>
        </w:rPr>
        <w:t>,</w:t>
      </w:r>
      <w:r w:rsidR="0031449E" w:rsidRPr="0031449E">
        <w:t xml:space="preserve"> 37-38.</w:t>
      </w:r>
    </w:p>
    <w:p w14:paraId="49BB7086" w14:textId="77777777" w:rsidR="0031449E" w:rsidRPr="0031449E" w:rsidRDefault="0031449E" w:rsidP="0031449E">
      <w:pPr>
        <w:pStyle w:val="EndNoteBibliography"/>
      </w:pPr>
      <w:r w:rsidRPr="0031449E">
        <w:t xml:space="preserve">Taber, K. S. and Coll, R. K. (2002). Chemical Education: Towards Research-based Practice. In Gilbert, J. K., DeJong, O., Justi, R., Treagst, D. F. &amp; Van Driel, J. H. (eds.) </w:t>
      </w:r>
      <w:r w:rsidRPr="0031449E">
        <w:rPr>
          <w:i/>
        </w:rPr>
        <w:t>Chemical Education: Towards Research-based Practice.</w:t>
      </w:r>
      <w:r w:rsidRPr="0031449E">
        <w:t xml:space="preserve"> Dortrecht: Kluwer Academic Publishers.</w:t>
      </w:r>
    </w:p>
    <w:p w14:paraId="0F4294D4" w14:textId="77777777" w:rsidR="0031449E" w:rsidRPr="0031449E" w:rsidRDefault="0031449E" w:rsidP="0031449E">
      <w:pPr>
        <w:pStyle w:val="EndNoteBibliography"/>
      </w:pPr>
      <w:r w:rsidRPr="0031449E">
        <w:t xml:space="preserve">Taber, K. S., Tsaparlis, G. and Nakibo  ğlu, C. (2012). Student conceptions of ionic bonding: Patterns of thinking across three European contexts. </w:t>
      </w:r>
      <w:r w:rsidRPr="0031449E">
        <w:rPr>
          <w:i/>
        </w:rPr>
        <w:t>Internationl Journal of Science Education,</w:t>
      </w:r>
      <w:r w:rsidRPr="0031449E">
        <w:t xml:space="preserve"> 34(18)</w:t>
      </w:r>
      <w:r w:rsidRPr="0031449E">
        <w:rPr>
          <w:b/>
        </w:rPr>
        <w:t>,</w:t>
      </w:r>
      <w:r w:rsidRPr="0031449E">
        <w:t xml:space="preserve"> 2843-2873.</w:t>
      </w:r>
    </w:p>
    <w:p w14:paraId="7E4FF309" w14:textId="31E3E7DB" w:rsidR="005E1205" w:rsidRPr="005E1205" w:rsidRDefault="00156482"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54E7" w14:textId="77777777" w:rsidR="000E5559" w:rsidRDefault="000E5559" w:rsidP="000B473B">
      <w:r>
        <w:separator/>
      </w:r>
    </w:p>
  </w:endnote>
  <w:endnote w:type="continuationSeparator" w:id="0">
    <w:p w14:paraId="18C71C85" w14:textId="77777777" w:rsidR="000E5559" w:rsidRDefault="000E555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990D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E1CAF48" wp14:editId="6D7D422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E6A68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4375">
      <w:rPr>
        <w:noProof/>
      </w:rPr>
      <w:t>1</w:t>
    </w:r>
    <w:r>
      <w:rPr>
        <w:noProof/>
      </w:rPr>
      <w:fldChar w:fldCharType="end"/>
    </w:r>
  </w:p>
  <w:p w14:paraId="3577A171"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49792B24"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8BD3C" w14:textId="77777777" w:rsidR="000E5559" w:rsidRDefault="000E5559" w:rsidP="000B473B">
      <w:r>
        <w:separator/>
      </w:r>
    </w:p>
  </w:footnote>
  <w:footnote w:type="continuationSeparator" w:id="0">
    <w:p w14:paraId="7DF068C9" w14:textId="77777777" w:rsidR="000E5559" w:rsidRDefault="000E555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E63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051CB7B" wp14:editId="3CF8245F">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6981F90" wp14:editId="64FFA2F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8DF33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015E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95FF309" wp14:editId="70FB9FD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03114BE" wp14:editId="75F571B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96E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3441"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C64A9"/>
    <w:rsid w:val="00015578"/>
    <w:rsid w:val="00024731"/>
    <w:rsid w:val="00026DEC"/>
    <w:rsid w:val="000505CA"/>
    <w:rsid w:val="0007651D"/>
    <w:rsid w:val="0009089A"/>
    <w:rsid w:val="000947E2"/>
    <w:rsid w:val="00095E04"/>
    <w:rsid w:val="000B473B"/>
    <w:rsid w:val="000D0E89"/>
    <w:rsid w:val="000E2689"/>
    <w:rsid w:val="000E5559"/>
    <w:rsid w:val="00142613"/>
    <w:rsid w:val="00144DA7"/>
    <w:rsid w:val="0015356E"/>
    <w:rsid w:val="00156482"/>
    <w:rsid w:val="00161D3F"/>
    <w:rsid w:val="001915D4"/>
    <w:rsid w:val="00194675"/>
    <w:rsid w:val="001A1FED"/>
    <w:rsid w:val="001A40E2"/>
    <w:rsid w:val="001A410F"/>
    <w:rsid w:val="001C2E59"/>
    <w:rsid w:val="001C4805"/>
    <w:rsid w:val="001D683E"/>
    <w:rsid w:val="00201AC2"/>
    <w:rsid w:val="00214608"/>
    <w:rsid w:val="002178AC"/>
    <w:rsid w:val="0022547C"/>
    <w:rsid w:val="00226767"/>
    <w:rsid w:val="0025410A"/>
    <w:rsid w:val="0027553E"/>
    <w:rsid w:val="0028012F"/>
    <w:rsid w:val="002828DF"/>
    <w:rsid w:val="00287876"/>
    <w:rsid w:val="00292C53"/>
    <w:rsid w:val="00294E22"/>
    <w:rsid w:val="002C22EA"/>
    <w:rsid w:val="002C59BA"/>
    <w:rsid w:val="002F41B2"/>
    <w:rsid w:val="00301AA9"/>
    <w:rsid w:val="003117F6"/>
    <w:rsid w:val="0031449E"/>
    <w:rsid w:val="003533B8"/>
    <w:rsid w:val="003752BE"/>
    <w:rsid w:val="003854EC"/>
    <w:rsid w:val="003A346A"/>
    <w:rsid w:val="003A50A4"/>
    <w:rsid w:val="003B2917"/>
    <w:rsid w:val="003B541B"/>
    <w:rsid w:val="003E2B2F"/>
    <w:rsid w:val="003E6046"/>
    <w:rsid w:val="003F0B96"/>
    <w:rsid w:val="003F16F9"/>
    <w:rsid w:val="00430C1F"/>
    <w:rsid w:val="00442595"/>
    <w:rsid w:val="0045323E"/>
    <w:rsid w:val="00456227"/>
    <w:rsid w:val="004B0EE1"/>
    <w:rsid w:val="004C64A9"/>
    <w:rsid w:val="004D0D83"/>
    <w:rsid w:val="004E1DF1"/>
    <w:rsid w:val="004E5592"/>
    <w:rsid w:val="004F31D5"/>
    <w:rsid w:val="0050055B"/>
    <w:rsid w:val="00524710"/>
    <w:rsid w:val="00555342"/>
    <w:rsid w:val="005560E2"/>
    <w:rsid w:val="005A452E"/>
    <w:rsid w:val="005A6EE7"/>
    <w:rsid w:val="005E07F2"/>
    <w:rsid w:val="005E1205"/>
    <w:rsid w:val="005E19D4"/>
    <w:rsid w:val="005F1A7B"/>
    <w:rsid w:val="006355D8"/>
    <w:rsid w:val="00642ECD"/>
    <w:rsid w:val="006502A0"/>
    <w:rsid w:val="006772F5"/>
    <w:rsid w:val="006A320F"/>
    <w:rsid w:val="006A4440"/>
    <w:rsid w:val="006B0615"/>
    <w:rsid w:val="006C2C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323BB"/>
    <w:rsid w:val="008450D6"/>
    <w:rsid w:val="00856FCA"/>
    <w:rsid w:val="00873B8C"/>
    <w:rsid w:val="00880E3B"/>
    <w:rsid w:val="008A405F"/>
    <w:rsid w:val="008C7F34"/>
    <w:rsid w:val="008D7667"/>
    <w:rsid w:val="008E580C"/>
    <w:rsid w:val="0090047A"/>
    <w:rsid w:val="009158ED"/>
    <w:rsid w:val="00925026"/>
    <w:rsid w:val="00931264"/>
    <w:rsid w:val="00942A4B"/>
    <w:rsid w:val="00943DA3"/>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E01AD"/>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83DCB"/>
    <w:rsid w:val="00DC3D50"/>
    <w:rsid w:val="00DC4A4E"/>
    <w:rsid w:val="00DD1874"/>
    <w:rsid w:val="00DD63BD"/>
    <w:rsid w:val="00E03772"/>
    <w:rsid w:val="00E172C6"/>
    <w:rsid w:val="00E24309"/>
    <w:rsid w:val="00E53D82"/>
    <w:rsid w:val="00E9330A"/>
    <w:rsid w:val="00EE6B97"/>
    <w:rsid w:val="00F12C3B"/>
    <w:rsid w:val="00F228E5"/>
    <w:rsid w:val="00F26884"/>
    <w:rsid w:val="00F43A11"/>
    <w:rsid w:val="00F44375"/>
    <w:rsid w:val="00F4777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F0E02"/>
  <w15:docId w15:val="{37CA701A-2193-46AF-BF6B-67AEF2E2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5648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56482"/>
    <w:rPr>
      <w:rFonts w:ascii="Calibri" w:hAnsi="Calibri" w:cs="Calibri"/>
      <w:noProof/>
      <w:lang w:val="en-US"/>
    </w:rPr>
  </w:style>
  <w:style w:type="paragraph" w:customStyle="1" w:styleId="EndNoteBibliography">
    <w:name w:val="EndNote Bibliography"/>
    <w:basedOn w:val="Normal"/>
    <w:link w:val="EndNoteBibliographyChar"/>
    <w:rsid w:val="00156482"/>
    <w:rPr>
      <w:rFonts w:ascii="Calibri" w:hAnsi="Calibri" w:cs="Calibri"/>
      <w:noProof/>
      <w:lang w:val="en-US"/>
    </w:rPr>
  </w:style>
  <w:style w:type="character" w:customStyle="1" w:styleId="EndNoteBibliographyChar">
    <w:name w:val="EndNote Bibliography Char"/>
    <w:basedOn w:val="DefaultParagraphFont"/>
    <w:link w:val="EndNoteBibliography"/>
    <w:rsid w:val="0015648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BEST_Template_Chemistry_R_General.dotx</Template>
  <TotalTime>222</TotalTime>
  <Pages>3</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2020-11-27T14:19:00Z</dcterms:created>
  <dcterms:modified xsi:type="dcterms:W3CDTF">2020-12-03T15:21:00Z</dcterms:modified>
</cp:coreProperties>
</file>